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01784E" w:rsidP="00434EA1">
      <w:pPr>
        <w:spacing w:after="0"/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68153C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01784E" w:rsidP="00434EA1">
            <w:pPr>
              <w:spacing w:line="276" w:lineRule="auto"/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01784E" w:rsidP="00434EA1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01784E" w:rsidP="00434EA1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01784E" w:rsidP="00434EA1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01784E" w:rsidP="00434EA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Pr="00434EA1" w:rsidRDefault="0001784E" w:rsidP="00434EA1">
      <w:pPr>
        <w:spacing w:after="0"/>
        <w:ind w:right="3415"/>
        <w:jc w:val="center"/>
        <w:rPr>
          <w:rFonts w:ascii="Times New Roman" w:hAnsi="Times New Roman"/>
          <w:b/>
        </w:rPr>
      </w:pPr>
      <w:r w:rsidRPr="00434EA1">
        <w:rPr>
          <w:rFonts w:ascii="Times New Roman" w:hAnsi="Times New Roman"/>
          <w:b/>
          <w:noProof/>
        </w:rPr>
        <w:t>Središnji odsjek</w:t>
      </w:r>
      <w:r w:rsidRPr="00434EA1">
        <w:rPr>
          <w:rFonts w:ascii="Times New Roman" w:hAnsi="Times New Roman"/>
          <w:b/>
        </w:rPr>
        <w:t xml:space="preserve"> za graditeljstvo</w:t>
      </w:r>
    </w:p>
    <w:p w:rsidR="00A86047" w:rsidRDefault="0001784E" w:rsidP="00434EA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01784E" w:rsidP="00434EA1">
      <w:pPr>
        <w:tabs>
          <w:tab w:val="left" w:pos="297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01784E" w:rsidP="00434EA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/17-001/437</w:t>
      </w:r>
    </w:p>
    <w:p w:rsidR="00A86047" w:rsidRPr="008E5C9D" w:rsidRDefault="0001784E" w:rsidP="00434EA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251-13-22-1/036-17-4</w:t>
      </w:r>
    </w:p>
    <w:p w:rsidR="00A86047" w:rsidRPr="008E5C9D" w:rsidRDefault="0001784E" w:rsidP="00434EA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13.4.2017.</w:t>
      </w:r>
    </w:p>
    <w:p w:rsidR="00434EA1" w:rsidRPr="00434EA1" w:rsidRDefault="0001784E" w:rsidP="00434EA1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 xml:space="preserve">Gradski ured za prostorno uređenje, izgradnju grada, graditeljstvo, komunalne poslove i promet, Odjel za graditeljstvo, Središnji odsjek za graditeljstvo, na temelju čl. 116. st. 1. Zakona o gradnji (NN </w:t>
      </w:r>
      <w:r w:rsidRPr="00434EA1">
        <w:rPr>
          <w:rFonts w:ascii="Times New Roman" w:eastAsia="Times New Roman" w:hAnsi="Times New Roman" w:cs="Times New Roman"/>
          <w:color w:val="000000"/>
        </w:rPr>
        <w:t>153/13 i 20/17), u postupku po zahtjevu dioničkog društva Jadransko osiguranje d.d. za izdavanje građevinske dozvole za rekonstrukciju poslovne građevine,</w:t>
      </w:r>
    </w:p>
    <w:p w:rsidR="00434EA1" w:rsidRPr="00434EA1" w:rsidRDefault="0001784E" w:rsidP="00434EA1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434EA1">
        <w:rPr>
          <w:rFonts w:ascii="Times New Roman" w:eastAsia="Times New Roman" w:hAnsi="Times New Roman" w:cs="Times New Roman"/>
          <w:color w:val="000000"/>
          <w:sz w:val="24"/>
        </w:rPr>
        <w:t>POZIVA</w:t>
      </w: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 xml:space="preserve">investitora, vlasnike i nositelje drugih stvarnih prava na građevnoj čestici k.č.br. 3954/1 </w:t>
      </w:r>
      <w:r w:rsidRPr="00434EA1">
        <w:rPr>
          <w:rFonts w:ascii="Times New Roman" w:eastAsia="Times New Roman" w:hAnsi="Times New Roman" w:cs="Times New Roman"/>
          <w:color w:val="000000"/>
        </w:rPr>
        <w:t>k.o. Rudeš</w:t>
      </w:r>
      <w:r>
        <w:rPr>
          <w:rFonts w:ascii="Times New Roman" w:eastAsia="Times New Roman" w:hAnsi="Times New Roman" w:cs="Times New Roman"/>
          <w:color w:val="000000"/>
        </w:rPr>
        <w:t>, Listopadska 2,</w:t>
      </w:r>
      <w:r w:rsidRPr="00434EA1">
        <w:rPr>
          <w:rFonts w:ascii="Times New Roman" w:eastAsia="Times New Roman" w:hAnsi="Times New Roman" w:cs="Times New Roman"/>
          <w:color w:val="000000"/>
        </w:rPr>
        <w:t xml:space="preserve"> na kojoj se izdaje građevinska dozvola (kojoj odgovara nekretnina u zemljišnoj knjizi zk.č.br. 1519/75 k.o. Vrapče), te vlasnike i nositelje drugih stvarnih prava na nekretninama s kojima graniči a koje u zemljišnoj knjizi k.o. V</w:t>
      </w:r>
      <w:r w:rsidRPr="00434EA1">
        <w:rPr>
          <w:rFonts w:ascii="Times New Roman" w:eastAsia="Times New Roman" w:hAnsi="Times New Roman" w:cs="Times New Roman"/>
          <w:color w:val="000000"/>
        </w:rPr>
        <w:t>rapče odgovaraju zk.č.br. 1515/4, 1995/2, 1995/3, 2000, 2001, 2002, 1531/1, 1519/6, 1519/5, 1519/9 i 1519/1,</w:t>
      </w: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>da dana 24.4.2017. godine</w:t>
      </w:r>
      <w:r w:rsidR="00382EC6">
        <w:rPr>
          <w:rFonts w:ascii="Times New Roman" w:eastAsia="Times New Roman" w:hAnsi="Times New Roman" w:cs="Times New Roman"/>
          <w:color w:val="000000"/>
        </w:rPr>
        <w:t xml:space="preserve"> u 10 sati izvrše</w:t>
      </w:r>
      <w:bookmarkStart w:id="0" w:name="_GoBack"/>
      <w:bookmarkEnd w:id="0"/>
      <w:r w:rsidRPr="00434EA1">
        <w:rPr>
          <w:rFonts w:ascii="Times New Roman" w:eastAsia="Times New Roman" w:hAnsi="Times New Roman" w:cs="Times New Roman"/>
          <w:color w:val="000000"/>
        </w:rPr>
        <w:t xml:space="preserve"> uvid u spis predmeta radi izjašnjenja na predmetni zahvat u prostoru.</w:t>
      </w: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434EA1">
        <w:rPr>
          <w:rFonts w:ascii="Times New Roman" w:eastAsia="Times New Roman" w:hAnsi="Times New Roman" w:cs="Times New Roman"/>
          <w:color w:val="000000"/>
          <w:u w:val="single"/>
        </w:rPr>
        <w:t>Osoba koja se odazove ovom pozivu dužna j</w:t>
      </w:r>
      <w:r w:rsidRPr="00434EA1">
        <w:rPr>
          <w:rFonts w:ascii="Times New Roman" w:eastAsia="Times New Roman" w:hAnsi="Times New Roman" w:cs="Times New Roman"/>
          <w:color w:val="000000"/>
          <w:u w:val="single"/>
        </w:rPr>
        <w:t>e dokazati svojstvo stranke (ispravom iz koje je razvidno da je nositelj stvarnog prava na građevnoj čestici za koju se izdaje građevinska dozvola ili na nekretninama koje neposredno graniče s istom).</w:t>
      </w:r>
    </w:p>
    <w:p w:rsid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>Stranke se mogu pozivu odazvati osobno ili putem opuno</w:t>
      </w:r>
      <w:r w:rsidRPr="00434EA1">
        <w:rPr>
          <w:rFonts w:ascii="Times New Roman" w:eastAsia="Times New Roman" w:hAnsi="Times New Roman" w:cs="Times New Roman"/>
          <w:color w:val="000000"/>
        </w:rPr>
        <w:t>moćene osobe koji na uvid treba dostaviti i punomoć za zastupanje.</w:t>
      </w:r>
    </w:p>
    <w:p w:rsid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>Građevinska dozvola može se izdati iako se stranka ne odazove pozivu.</w:t>
      </w:r>
    </w:p>
    <w:p w:rsidR="00434EA1" w:rsidRPr="00434EA1" w:rsidRDefault="0001784E" w:rsidP="00434EA1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</w:p>
    <w:p w:rsidR="00434EA1" w:rsidRPr="00434EA1" w:rsidRDefault="0001784E" w:rsidP="00434EA1">
      <w:pPr>
        <w:spacing w:after="0"/>
        <w:ind w:left="5387" w:hanging="851"/>
        <w:jc w:val="center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>Upravni referent za graditeljstvo</w:t>
      </w:r>
    </w:p>
    <w:p w:rsidR="00434EA1" w:rsidRPr="00434EA1" w:rsidRDefault="0001784E" w:rsidP="00434EA1">
      <w:pPr>
        <w:spacing w:after="0"/>
        <w:ind w:left="5387" w:hanging="851"/>
        <w:jc w:val="center"/>
        <w:rPr>
          <w:rFonts w:ascii="Times New Roman" w:eastAsia="Times New Roman" w:hAnsi="Times New Roman" w:cs="Times New Roman"/>
          <w:caps/>
          <w:color w:val="000000"/>
        </w:rPr>
      </w:pPr>
    </w:p>
    <w:p w:rsidR="00434EA1" w:rsidRPr="00434EA1" w:rsidRDefault="0001784E" w:rsidP="00434EA1">
      <w:pPr>
        <w:spacing w:after="0"/>
        <w:ind w:left="5387" w:hanging="851"/>
        <w:jc w:val="center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color w:val="000000"/>
        </w:rPr>
        <w:t>Jurica Brkić, mag.ing.aedif.</w:t>
      </w: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434EA1" w:rsidRPr="00434EA1" w:rsidRDefault="0001784E" w:rsidP="00434EA1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434EA1">
        <w:rPr>
          <w:rFonts w:ascii="Times New Roman" w:eastAsia="Times New Roman" w:hAnsi="Times New Roman" w:cs="Times New Roman"/>
          <w:color w:val="000000"/>
          <w:u w:val="single"/>
        </w:rPr>
        <w:t>Dostaviti:</w:t>
      </w:r>
    </w:p>
    <w:p w:rsidR="00434EA1" w:rsidRPr="00434EA1" w:rsidRDefault="0001784E" w:rsidP="00434EA1">
      <w:pPr>
        <w:numPr>
          <w:ilvl w:val="0"/>
          <w:numId w:val="2"/>
        </w:numPr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b/>
          <w:noProof/>
          <w:color w:val="000000"/>
        </w:rPr>
        <w:t>Oglasna ploča ovog Ureda</w:t>
      </w:r>
      <w:r w:rsidRPr="00434EA1">
        <w:rPr>
          <w:rFonts w:ascii="Times New Roman" w:eastAsia="Times New Roman" w:hAnsi="Times New Roman" w:cs="Times New Roman"/>
          <w:noProof/>
          <w:color w:val="000000"/>
        </w:rPr>
        <w:t>, ovdje</w:t>
      </w:r>
    </w:p>
    <w:p w:rsidR="00434EA1" w:rsidRPr="00434EA1" w:rsidRDefault="0001784E" w:rsidP="00434EA1">
      <w:pPr>
        <w:numPr>
          <w:ilvl w:val="0"/>
          <w:numId w:val="2"/>
        </w:numPr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b/>
          <w:noProof/>
          <w:color w:val="000000"/>
        </w:rPr>
        <w:t xml:space="preserve">Mrežne </w:t>
      </w:r>
      <w:r w:rsidRPr="00434EA1">
        <w:rPr>
          <w:rFonts w:ascii="Times New Roman" w:eastAsia="Times New Roman" w:hAnsi="Times New Roman" w:cs="Times New Roman"/>
          <w:b/>
          <w:noProof/>
          <w:color w:val="000000"/>
        </w:rPr>
        <w:t>stranice Grada Zagreba</w:t>
      </w:r>
    </w:p>
    <w:p w:rsidR="00434EA1" w:rsidRPr="00434EA1" w:rsidRDefault="0001784E" w:rsidP="00434EA1">
      <w:pPr>
        <w:numPr>
          <w:ilvl w:val="0"/>
          <w:numId w:val="2"/>
        </w:numPr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b/>
          <w:noProof/>
          <w:color w:val="000000"/>
        </w:rPr>
        <w:t>Na nekretenini za koju se izdaje građevinska dozvola</w:t>
      </w:r>
    </w:p>
    <w:p w:rsidR="00CE17ED" w:rsidRPr="00434EA1" w:rsidRDefault="0001784E" w:rsidP="00434EA1">
      <w:pPr>
        <w:numPr>
          <w:ilvl w:val="0"/>
          <w:numId w:val="2"/>
        </w:numPr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</w:rPr>
      </w:pPr>
      <w:r w:rsidRPr="00434EA1">
        <w:rPr>
          <w:rFonts w:ascii="Times New Roman" w:eastAsia="Times New Roman" w:hAnsi="Times New Roman" w:cs="Times New Roman"/>
          <w:b/>
          <w:color w:val="000000"/>
        </w:rPr>
        <w:t>Pismohrana</w:t>
      </w:r>
      <w:r w:rsidRPr="00434EA1">
        <w:rPr>
          <w:rFonts w:ascii="Times New Roman" w:eastAsia="Times New Roman" w:hAnsi="Times New Roman" w:cs="Times New Roman"/>
          <w:color w:val="000000"/>
        </w:rPr>
        <w:t>, ovdje</w:t>
      </w:r>
    </w:p>
    <w:sectPr w:rsidR="00CE17ED" w:rsidRPr="00434EA1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784E">
      <w:pPr>
        <w:spacing w:after="0" w:line="240" w:lineRule="auto"/>
      </w:pPr>
      <w:r>
        <w:separator/>
      </w:r>
    </w:p>
  </w:endnote>
  <w:endnote w:type="continuationSeparator" w:id="0">
    <w:p w:rsidR="00000000" w:rsidRDefault="0001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3F" w:rsidRDefault="0001784E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784E">
      <w:pPr>
        <w:spacing w:after="0" w:line="240" w:lineRule="auto"/>
      </w:pPr>
      <w:r>
        <w:separator/>
      </w:r>
    </w:p>
  </w:footnote>
  <w:footnote w:type="continuationSeparator" w:id="0">
    <w:p w:rsidR="00000000" w:rsidRDefault="0001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3F" w:rsidRDefault="0001784E">
    <w:pPr>
      <w:jc w:val="right"/>
    </w:pPr>
    <w:r>
      <w:t>UP/I-361-03/17-001/437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E92271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E0E209C" w:tentative="1">
      <w:start w:val="1"/>
      <w:numFmt w:val="lowerLetter"/>
      <w:lvlText w:val="%2."/>
      <w:lvlJc w:val="left"/>
      <w:pPr>
        <w:ind w:left="1440" w:hanging="360"/>
      </w:pPr>
    </w:lvl>
    <w:lvl w:ilvl="2" w:tplc="7518960C" w:tentative="1">
      <w:start w:val="1"/>
      <w:numFmt w:val="lowerRoman"/>
      <w:lvlText w:val="%3."/>
      <w:lvlJc w:val="right"/>
      <w:pPr>
        <w:ind w:left="2160" w:hanging="180"/>
      </w:pPr>
    </w:lvl>
    <w:lvl w:ilvl="3" w:tplc="F4F03C5C" w:tentative="1">
      <w:start w:val="1"/>
      <w:numFmt w:val="decimal"/>
      <w:lvlText w:val="%4."/>
      <w:lvlJc w:val="left"/>
      <w:pPr>
        <w:ind w:left="2880" w:hanging="360"/>
      </w:pPr>
    </w:lvl>
    <w:lvl w:ilvl="4" w:tplc="0BF8874E" w:tentative="1">
      <w:start w:val="1"/>
      <w:numFmt w:val="lowerLetter"/>
      <w:lvlText w:val="%5."/>
      <w:lvlJc w:val="left"/>
      <w:pPr>
        <w:ind w:left="3600" w:hanging="360"/>
      </w:pPr>
    </w:lvl>
    <w:lvl w:ilvl="5" w:tplc="3C40AFFA" w:tentative="1">
      <w:start w:val="1"/>
      <w:numFmt w:val="lowerRoman"/>
      <w:lvlText w:val="%6."/>
      <w:lvlJc w:val="right"/>
      <w:pPr>
        <w:ind w:left="4320" w:hanging="180"/>
      </w:pPr>
    </w:lvl>
    <w:lvl w:ilvl="6" w:tplc="775C9B0C" w:tentative="1">
      <w:start w:val="1"/>
      <w:numFmt w:val="decimal"/>
      <w:lvlText w:val="%7."/>
      <w:lvlJc w:val="left"/>
      <w:pPr>
        <w:ind w:left="5040" w:hanging="360"/>
      </w:pPr>
    </w:lvl>
    <w:lvl w:ilvl="7" w:tplc="B38EC696" w:tentative="1">
      <w:start w:val="1"/>
      <w:numFmt w:val="lowerLetter"/>
      <w:lvlText w:val="%8."/>
      <w:lvlJc w:val="left"/>
      <w:pPr>
        <w:ind w:left="5760" w:hanging="360"/>
      </w:pPr>
    </w:lvl>
    <w:lvl w:ilvl="8" w:tplc="DAAC9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F3C49"/>
    <w:multiLevelType w:val="hybridMultilevel"/>
    <w:tmpl w:val="18BAF5B4"/>
    <w:lvl w:ilvl="0" w:tplc="A452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42B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849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DCC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E6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AA2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88F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7CB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2E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3C"/>
    <w:rsid w:val="0001784E"/>
    <w:rsid w:val="00382EC6"/>
    <w:rsid w:val="006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2017-04-13T13:09:00Z</dcterms:created>
  <dcterms:modified xsi:type="dcterms:W3CDTF">2017-04-13T13:09:00Z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2080391</vt:lpwstr>
  </property>
  <property fmtid="{D5CDD505-2E9C-101B-9397-08002B2CF9AE}" pid="3" name="DOKUMENT_UR_BROJ">
    <vt:lpwstr>251-13-22-1/036-17-4</vt:lpwstr>
  </property>
  <property fmtid="{D5CDD505-2E9C-101B-9397-08002B2CF9AE}" pid="4" name="DOZVOLA_ID">
    <vt:lpwstr>2010273</vt:lpwstr>
  </property>
  <property fmtid="{D5CDD505-2E9C-101B-9397-08002B2CF9AE}" pid="5" name="INTERNI_BROJ">
    <vt:lpwstr>352D6B5E87D0F9D1F9D8AC6D62119D95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